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B8" w:rsidRDefault="00324BB8">
      <w:pPr>
        <w:rPr>
          <w:rFonts w:ascii="Arial" w:hAnsi="Arial" w:cs="Arial"/>
          <w:b/>
          <w:sz w:val="24"/>
          <w:szCs w:val="24"/>
        </w:rPr>
      </w:pPr>
      <w:r>
        <w:rPr>
          <w:rFonts w:ascii="Arial" w:hAnsi="Arial" w:cs="Arial"/>
          <w:b/>
          <w:noProof/>
          <w:sz w:val="24"/>
          <w:szCs w:val="24"/>
          <w:lang w:eastAsia="es-ES"/>
        </w:rPr>
        <w:drawing>
          <wp:inline distT="0" distB="0" distL="0" distR="0">
            <wp:extent cx="5153025" cy="1423011"/>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7026" cy="1429639"/>
                    </a:xfrm>
                    <a:prstGeom prst="rect">
                      <a:avLst/>
                    </a:prstGeom>
                    <a:noFill/>
                    <a:ln>
                      <a:noFill/>
                    </a:ln>
                  </pic:spPr>
                </pic:pic>
              </a:graphicData>
            </a:graphic>
          </wp:inline>
        </w:drawing>
      </w:r>
    </w:p>
    <w:p w:rsidR="00DE3823" w:rsidRPr="00340D1C" w:rsidRDefault="00207626" w:rsidP="00340D1C">
      <w:pPr>
        <w:jc w:val="center"/>
        <w:rPr>
          <w:rFonts w:ascii="Arial" w:hAnsi="Arial" w:cs="Arial"/>
          <w:b/>
          <w:i/>
          <w:sz w:val="28"/>
          <w:szCs w:val="28"/>
        </w:rPr>
      </w:pPr>
      <w:r w:rsidRPr="00340D1C">
        <w:rPr>
          <w:rFonts w:ascii="Arial" w:hAnsi="Arial" w:cs="Arial"/>
          <w:b/>
          <w:i/>
          <w:sz w:val="28"/>
          <w:szCs w:val="28"/>
        </w:rPr>
        <w:t xml:space="preserve">UNAS </w:t>
      </w:r>
      <w:r w:rsidR="00340D1C">
        <w:rPr>
          <w:rFonts w:ascii="Arial" w:hAnsi="Arial" w:cs="Arial"/>
          <w:b/>
          <w:i/>
          <w:sz w:val="28"/>
          <w:szCs w:val="28"/>
        </w:rPr>
        <w:t xml:space="preserve">MALAS </w:t>
      </w:r>
      <w:r w:rsidRPr="00340D1C">
        <w:rPr>
          <w:rFonts w:ascii="Arial" w:hAnsi="Arial" w:cs="Arial"/>
          <w:b/>
          <w:i/>
          <w:sz w:val="28"/>
          <w:szCs w:val="28"/>
        </w:rPr>
        <w:t xml:space="preserve">PROPUESTAS PARA LA </w:t>
      </w:r>
      <w:r w:rsidR="00DE3823" w:rsidRPr="00340D1C">
        <w:rPr>
          <w:rFonts w:ascii="Arial" w:hAnsi="Arial" w:cs="Arial"/>
          <w:b/>
          <w:i/>
          <w:sz w:val="28"/>
          <w:szCs w:val="28"/>
        </w:rPr>
        <w:t>FINANCIACION SANITARIA</w:t>
      </w:r>
      <w:r w:rsidRPr="00340D1C">
        <w:rPr>
          <w:rFonts w:ascii="Arial" w:hAnsi="Arial" w:cs="Arial"/>
          <w:b/>
          <w:i/>
          <w:sz w:val="28"/>
          <w:szCs w:val="28"/>
        </w:rPr>
        <w:t xml:space="preserve"> DE LAS CCAA</w:t>
      </w:r>
    </w:p>
    <w:p w:rsidR="00207626" w:rsidRDefault="00207626" w:rsidP="00DE2749">
      <w:pPr>
        <w:jc w:val="both"/>
        <w:rPr>
          <w:rFonts w:ascii="Arial" w:hAnsi="Arial" w:cs="Arial"/>
          <w:sz w:val="24"/>
          <w:szCs w:val="24"/>
        </w:rPr>
      </w:pPr>
      <w:r>
        <w:rPr>
          <w:rFonts w:ascii="Arial" w:hAnsi="Arial" w:cs="Arial"/>
          <w:sz w:val="24"/>
          <w:szCs w:val="24"/>
        </w:rPr>
        <w:t xml:space="preserve">Recientemente, en julio de 2017, se ha hecho público el </w:t>
      </w:r>
      <w:r w:rsidRPr="00DE2749">
        <w:rPr>
          <w:rFonts w:ascii="Arial" w:hAnsi="Arial" w:cs="Arial"/>
          <w:i/>
          <w:sz w:val="24"/>
          <w:szCs w:val="24"/>
        </w:rPr>
        <w:t>Informe de la Comisión de Expertos para la Financiación autonómica</w:t>
      </w:r>
      <w:r>
        <w:rPr>
          <w:rFonts w:ascii="Arial" w:hAnsi="Arial" w:cs="Arial"/>
          <w:sz w:val="24"/>
          <w:szCs w:val="24"/>
        </w:rPr>
        <w:t xml:space="preserve"> </w:t>
      </w:r>
      <w:r w:rsidR="00DE2749">
        <w:rPr>
          <w:rFonts w:ascii="Arial" w:hAnsi="Arial" w:cs="Arial"/>
          <w:sz w:val="24"/>
          <w:szCs w:val="24"/>
        </w:rPr>
        <w:t>que se supone tenía como objetivo el realizar propuestas para solucionar los problemas de financiación de las CCAA, muy especialmente los servicios públicos que han tenido problemas crónicos de financiación y de desigualdad entre las mismas</w:t>
      </w:r>
      <w:r w:rsidR="00D53D54">
        <w:rPr>
          <w:rFonts w:ascii="Arial" w:hAnsi="Arial" w:cs="Arial"/>
          <w:sz w:val="24"/>
          <w:szCs w:val="24"/>
        </w:rPr>
        <w:t xml:space="preserve"> que se han agravado notablemente con la crisis y los recortes a que han sido sometidas en parte con la excusa de esta.</w:t>
      </w:r>
    </w:p>
    <w:p w:rsidR="00D53D54" w:rsidRDefault="00C950EE" w:rsidP="00DE2749">
      <w:pPr>
        <w:jc w:val="both"/>
        <w:rPr>
          <w:rFonts w:ascii="Arial" w:hAnsi="Arial" w:cs="Arial"/>
          <w:sz w:val="24"/>
          <w:szCs w:val="24"/>
        </w:rPr>
      </w:pPr>
      <w:r>
        <w:rPr>
          <w:rFonts w:ascii="Arial" w:hAnsi="Arial" w:cs="Arial"/>
          <w:sz w:val="24"/>
          <w:szCs w:val="24"/>
        </w:rPr>
        <w:t>El Informe es un documento largo y de contenido básicamente economicista que además ha contado con bastantes desacuerdos entre los miembros de la comisión de expertos (9 votos particulares, uno suscrito por 6 miembors,2 por 3, uno por 2  y otros 5 individuales)</w:t>
      </w:r>
      <w:r w:rsidR="0058411D">
        <w:rPr>
          <w:rFonts w:ascii="Arial" w:hAnsi="Arial" w:cs="Arial"/>
          <w:sz w:val="24"/>
          <w:szCs w:val="24"/>
        </w:rPr>
        <w:t xml:space="preserve"> y realiza propuestas algunas de ellas razonables (asegurar una suficiencia financiera de las CCAA, homogenizar las cargas tributarias, favorecer acuerdos entre ellas a la hora  nuevas medidas fiscales, </w:t>
      </w:r>
      <w:proofErr w:type="spellStart"/>
      <w:r w:rsidR="0058411D">
        <w:rPr>
          <w:rFonts w:ascii="Arial" w:hAnsi="Arial" w:cs="Arial"/>
          <w:sz w:val="24"/>
          <w:szCs w:val="24"/>
        </w:rPr>
        <w:t>etc</w:t>
      </w:r>
      <w:proofErr w:type="spellEnd"/>
      <w:r w:rsidR="0058411D">
        <w:rPr>
          <w:rFonts w:ascii="Arial" w:hAnsi="Arial" w:cs="Arial"/>
          <w:sz w:val="24"/>
          <w:szCs w:val="24"/>
        </w:rPr>
        <w:t>) y otras claramente desenfocadas como hacer pivotar un aumento de los ingresos sobre un aumento de los impuestos indirectos o favorecer el incremento de tasas sobre la Sanidad.</w:t>
      </w:r>
    </w:p>
    <w:p w:rsidR="00606971" w:rsidRDefault="0058411D" w:rsidP="00DE2749">
      <w:pPr>
        <w:jc w:val="both"/>
        <w:rPr>
          <w:rFonts w:ascii="Arial" w:hAnsi="Arial" w:cs="Arial"/>
          <w:sz w:val="24"/>
          <w:szCs w:val="24"/>
        </w:rPr>
      </w:pPr>
      <w:r>
        <w:rPr>
          <w:rFonts w:ascii="Arial" w:hAnsi="Arial" w:cs="Arial"/>
          <w:sz w:val="24"/>
          <w:szCs w:val="24"/>
        </w:rPr>
        <w:t xml:space="preserve">Con todo la Sanidad aparece fuera del foco del Informe que le dedica de manera específica menos de media página (en un documento con 162) y que obvia los </w:t>
      </w:r>
      <w:r w:rsidR="00606971">
        <w:rPr>
          <w:rFonts w:ascii="Arial" w:hAnsi="Arial" w:cs="Arial"/>
          <w:sz w:val="24"/>
          <w:szCs w:val="24"/>
        </w:rPr>
        <w:t xml:space="preserve">tres </w:t>
      </w:r>
      <w:r>
        <w:rPr>
          <w:rFonts w:ascii="Arial" w:hAnsi="Arial" w:cs="Arial"/>
          <w:sz w:val="24"/>
          <w:szCs w:val="24"/>
        </w:rPr>
        <w:t>principales problemas de la financiación de la Sanidad Pública</w:t>
      </w:r>
      <w:r w:rsidR="00606971">
        <w:rPr>
          <w:rFonts w:ascii="Arial" w:hAnsi="Arial" w:cs="Arial"/>
          <w:sz w:val="24"/>
          <w:szCs w:val="24"/>
        </w:rPr>
        <w:t xml:space="preserve">, que como es bien conocido son aparte de la insuficiencia financiera de base (que se recoge de manera general en el Informe, es decir para todas las competencias asumidas por las CCAA), el hecho de que los fondos provengan de un sistema de fiscalidad indirecta basada en el consumo que es un sistema fiscalmente regresivo y permite la baja presión fiscal sobre las grandes fortunas y las empresas, y por fin el que se trata de una financiación no finalista (es decir que </w:t>
      </w:r>
      <w:proofErr w:type="spellStart"/>
      <w:r w:rsidR="00606971">
        <w:rPr>
          <w:rFonts w:ascii="Arial" w:hAnsi="Arial" w:cs="Arial"/>
          <w:sz w:val="24"/>
          <w:szCs w:val="24"/>
        </w:rPr>
        <w:t>esta</w:t>
      </w:r>
      <w:proofErr w:type="spellEnd"/>
      <w:r w:rsidR="00606971">
        <w:rPr>
          <w:rFonts w:ascii="Arial" w:hAnsi="Arial" w:cs="Arial"/>
          <w:sz w:val="24"/>
          <w:szCs w:val="24"/>
        </w:rPr>
        <w:t xml:space="preserve"> incluida en el bloque general de financiación de las CCAA siendo estas las que deciden la cuantía que dedican a la Sanidad).</w:t>
      </w:r>
    </w:p>
    <w:p w:rsidR="0058411D" w:rsidRDefault="00606971" w:rsidP="00DE2749">
      <w:pPr>
        <w:jc w:val="both"/>
        <w:rPr>
          <w:rFonts w:ascii="Arial" w:hAnsi="Arial" w:cs="Arial"/>
          <w:sz w:val="24"/>
          <w:szCs w:val="24"/>
        </w:rPr>
      </w:pPr>
      <w:r>
        <w:rPr>
          <w:rFonts w:ascii="Arial" w:hAnsi="Arial" w:cs="Arial"/>
          <w:sz w:val="24"/>
          <w:szCs w:val="24"/>
        </w:rPr>
        <w:t xml:space="preserve"> El cuadro siguiente recoge la financiación per </w:t>
      </w:r>
      <w:proofErr w:type="spellStart"/>
      <w:r>
        <w:rPr>
          <w:rFonts w:ascii="Arial" w:hAnsi="Arial" w:cs="Arial"/>
          <w:sz w:val="24"/>
          <w:szCs w:val="24"/>
        </w:rPr>
        <w:t>capita</w:t>
      </w:r>
      <w:proofErr w:type="spellEnd"/>
      <w:r>
        <w:rPr>
          <w:rFonts w:ascii="Arial" w:hAnsi="Arial" w:cs="Arial"/>
          <w:sz w:val="24"/>
          <w:szCs w:val="24"/>
        </w:rPr>
        <w:t xml:space="preserve"> de las CCAA de régimen general en 2014 y el gasto sanitario consolidado de ese mismo año (recogido en el Informe Anual del SNS 2016 publicado por el Ministerio de Sanidad) y el porcentaje de esa financiación general que supone el gasto sanitario.</w:t>
      </w:r>
    </w:p>
    <w:p w:rsidR="00207626" w:rsidRPr="00DE3823" w:rsidRDefault="00207626">
      <w:pPr>
        <w:rPr>
          <w:rFonts w:ascii="Arial" w:hAnsi="Arial" w:cs="Arial"/>
          <w:sz w:val="24"/>
          <w:szCs w:val="24"/>
        </w:rPr>
      </w:pPr>
    </w:p>
    <w:tbl>
      <w:tblPr>
        <w:tblStyle w:val="Tablaconcuadrcula"/>
        <w:tblW w:w="0" w:type="auto"/>
        <w:tblLook w:val="04A0" w:firstRow="1" w:lastRow="0" w:firstColumn="1" w:lastColumn="0" w:noHBand="0" w:noVBand="1"/>
      </w:tblPr>
      <w:tblGrid>
        <w:gridCol w:w="2830"/>
        <w:gridCol w:w="1843"/>
        <w:gridCol w:w="1697"/>
        <w:gridCol w:w="2124"/>
      </w:tblGrid>
      <w:tr w:rsidR="001B6C04" w:rsidTr="00BD4B6E">
        <w:tc>
          <w:tcPr>
            <w:tcW w:w="2830" w:type="dxa"/>
          </w:tcPr>
          <w:p w:rsidR="001B6C04" w:rsidRDefault="001B6C04">
            <w:pPr>
              <w:rPr>
                <w:rFonts w:ascii="Arial" w:hAnsi="Arial" w:cs="Arial"/>
                <w:sz w:val="24"/>
                <w:szCs w:val="24"/>
              </w:rPr>
            </w:pPr>
          </w:p>
        </w:tc>
        <w:tc>
          <w:tcPr>
            <w:tcW w:w="1843" w:type="dxa"/>
          </w:tcPr>
          <w:p w:rsidR="001B6C04" w:rsidRDefault="001B6C04">
            <w:pPr>
              <w:rPr>
                <w:rFonts w:ascii="Arial" w:hAnsi="Arial" w:cs="Arial"/>
                <w:sz w:val="24"/>
                <w:szCs w:val="24"/>
              </w:rPr>
            </w:pPr>
            <w:r>
              <w:rPr>
                <w:rFonts w:ascii="Arial" w:hAnsi="Arial" w:cs="Arial"/>
                <w:sz w:val="24"/>
                <w:szCs w:val="24"/>
              </w:rPr>
              <w:t>Financiación Comunidad autónoma</w:t>
            </w:r>
          </w:p>
          <w:p w:rsidR="001B6C04" w:rsidRDefault="001B6C04">
            <w:pPr>
              <w:rPr>
                <w:rFonts w:ascii="Arial" w:hAnsi="Arial" w:cs="Arial"/>
                <w:sz w:val="24"/>
                <w:szCs w:val="24"/>
              </w:rPr>
            </w:pPr>
            <w:r>
              <w:rPr>
                <w:rFonts w:ascii="Arial" w:hAnsi="Arial" w:cs="Arial"/>
                <w:sz w:val="24"/>
                <w:szCs w:val="24"/>
              </w:rPr>
              <w:t>€ /habitante</w:t>
            </w:r>
          </w:p>
        </w:tc>
        <w:tc>
          <w:tcPr>
            <w:tcW w:w="1697" w:type="dxa"/>
          </w:tcPr>
          <w:p w:rsidR="001B6C04" w:rsidRDefault="001B6C04">
            <w:pPr>
              <w:rPr>
                <w:rFonts w:ascii="Arial" w:hAnsi="Arial" w:cs="Arial"/>
                <w:sz w:val="24"/>
                <w:szCs w:val="24"/>
              </w:rPr>
            </w:pPr>
            <w:r>
              <w:rPr>
                <w:rFonts w:ascii="Arial" w:hAnsi="Arial" w:cs="Arial"/>
                <w:sz w:val="24"/>
                <w:szCs w:val="24"/>
              </w:rPr>
              <w:t>Gasto sanitario</w:t>
            </w:r>
          </w:p>
          <w:p w:rsidR="001B6C04" w:rsidRDefault="001B6C04">
            <w:pPr>
              <w:rPr>
                <w:rFonts w:ascii="Arial" w:hAnsi="Arial" w:cs="Arial"/>
                <w:sz w:val="24"/>
                <w:szCs w:val="24"/>
              </w:rPr>
            </w:pPr>
            <w:r>
              <w:rPr>
                <w:rFonts w:ascii="Arial" w:hAnsi="Arial" w:cs="Arial"/>
                <w:sz w:val="24"/>
                <w:szCs w:val="24"/>
              </w:rPr>
              <w:t>€/habitante</w:t>
            </w:r>
          </w:p>
        </w:tc>
        <w:tc>
          <w:tcPr>
            <w:tcW w:w="2124" w:type="dxa"/>
          </w:tcPr>
          <w:p w:rsidR="001B6C04" w:rsidRDefault="001B6C04">
            <w:pPr>
              <w:rPr>
                <w:rFonts w:ascii="Arial" w:hAnsi="Arial" w:cs="Arial"/>
                <w:sz w:val="24"/>
                <w:szCs w:val="24"/>
              </w:rPr>
            </w:pPr>
            <w:r>
              <w:rPr>
                <w:rFonts w:ascii="Arial" w:hAnsi="Arial" w:cs="Arial"/>
                <w:sz w:val="24"/>
                <w:szCs w:val="24"/>
              </w:rPr>
              <w:t>% gasto sanitario sobre financiación</w:t>
            </w:r>
          </w:p>
        </w:tc>
      </w:tr>
      <w:tr w:rsidR="001B6C04" w:rsidTr="00BD4B6E">
        <w:tc>
          <w:tcPr>
            <w:tcW w:w="2830" w:type="dxa"/>
          </w:tcPr>
          <w:p w:rsidR="001B6C04" w:rsidRDefault="00012256">
            <w:pPr>
              <w:rPr>
                <w:rFonts w:ascii="Arial" w:hAnsi="Arial" w:cs="Arial"/>
                <w:sz w:val="24"/>
                <w:szCs w:val="24"/>
              </w:rPr>
            </w:pPr>
            <w:r>
              <w:rPr>
                <w:rFonts w:ascii="Arial" w:hAnsi="Arial" w:cs="Arial"/>
                <w:sz w:val="24"/>
                <w:szCs w:val="24"/>
              </w:rPr>
              <w:t>Andalucí</w:t>
            </w:r>
            <w:r w:rsidR="00BF780D">
              <w:rPr>
                <w:rFonts w:ascii="Arial" w:hAnsi="Arial" w:cs="Arial"/>
                <w:sz w:val="24"/>
                <w:szCs w:val="24"/>
              </w:rPr>
              <w:t>a</w:t>
            </w:r>
          </w:p>
        </w:tc>
        <w:tc>
          <w:tcPr>
            <w:tcW w:w="1843" w:type="dxa"/>
          </w:tcPr>
          <w:p w:rsidR="001B6C04" w:rsidRDefault="00012256">
            <w:pPr>
              <w:rPr>
                <w:rFonts w:ascii="Arial" w:hAnsi="Arial" w:cs="Arial"/>
                <w:sz w:val="24"/>
                <w:szCs w:val="24"/>
              </w:rPr>
            </w:pPr>
            <w:r>
              <w:rPr>
                <w:rFonts w:ascii="Arial" w:hAnsi="Arial" w:cs="Arial"/>
                <w:sz w:val="24"/>
                <w:szCs w:val="24"/>
              </w:rPr>
              <w:t>2.269</w:t>
            </w:r>
          </w:p>
        </w:tc>
        <w:tc>
          <w:tcPr>
            <w:tcW w:w="1697" w:type="dxa"/>
          </w:tcPr>
          <w:p w:rsidR="001B6C04" w:rsidRDefault="00012256">
            <w:pPr>
              <w:rPr>
                <w:rFonts w:ascii="Arial" w:hAnsi="Arial" w:cs="Arial"/>
                <w:sz w:val="24"/>
                <w:szCs w:val="24"/>
              </w:rPr>
            </w:pPr>
            <w:r>
              <w:rPr>
                <w:rFonts w:ascii="Arial" w:hAnsi="Arial" w:cs="Arial"/>
                <w:sz w:val="24"/>
                <w:szCs w:val="24"/>
              </w:rPr>
              <w:t>1.052</w:t>
            </w:r>
          </w:p>
        </w:tc>
        <w:tc>
          <w:tcPr>
            <w:tcW w:w="2124" w:type="dxa"/>
          </w:tcPr>
          <w:p w:rsidR="001B6C04" w:rsidRDefault="00BD4B6E">
            <w:pPr>
              <w:rPr>
                <w:rFonts w:ascii="Arial" w:hAnsi="Arial" w:cs="Arial"/>
                <w:sz w:val="24"/>
                <w:szCs w:val="24"/>
              </w:rPr>
            </w:pPr>
            <w:r>
              <w:rPr>
                <w:rFonts w:ascii="Arial" w:hAnsi="Arial" w:cs="Arial"/>
                <w:sz w:val="24"/>
                <w:szCs w:val="24"/>
              </w:rPr>
              <w:t>46,36</w:t>
            </w:r>
          </w:p>
        </w:tc>
      </w:tr>
      <w:tr w:rsidR="001B6C04" w:rsidTr="00BD4B6E">
        <w:tc>
          <w:tcPr>
            <w:tcW w:w="2830" w:type="dxa"/>
          </w:tcPr>
          <w:p w:rsidR="001B6C04" w:rsidRDefault="00012256">
            <w:pPr>
              <w:rPr>
                <w:rFonts w:ascii="Arial" w:hAnsi="Arial" w:cs="Arial"/>
                <w:sz w:val="24"/>
                <w:szCs w:val="24"/>
              </w:rPr>
            </w:pPr>
            <w:r>
              <w:rPr>
                <w:rFonts w:ascii="Arial" w:hAnsi="Arial" w:cs="Arial"/>
                <w:sz w:val="24"/>
                <w:szCs w:val="24"/>
              </w:rPr>
              <w:t>Aragón</w:t>
            </w:r>
          </w:p>
        </w:tc>
        <w:tc>
          <w:tcPr>
            <w:tcW w:w="1843" w:type="dxa"/>
          </w:tcPr>
          <w:p w:rsidR="001B6C04" w:rsidRDefault="00012256">
            <w:pPr>
              <w:rPr>
                <w:rFonts w:ascii="Arial" w:hAnsi="Arial" w:cs="Arial"/>
                <w:sz w:val="24"/>
                <w:szCs w:val="24"/>
              </w:rPr>
            </w:pPr>
            <w:r>
              <w:rPr>
                <w:rFonts w:ascii="Arial" w:hAnsi="Arial" w:cs="Arial"/>
                <w:sz w:val="24"/>
                <w:szCs w:val="24"/>
              </w:rPr>
              <w:t>2.307</w:t>
            </w:r>
          </w:p>
        </w:tc>
        <w:tc>
          <w:tcPr>
            <w:tcW w:w="1697" w:type="dxa"/>
          </w:tcPr>
          <w:p w:rsidR="001B6C04" w:rsidRDefault="00012256">
            <w:pPr>
              <w:rPr>
                <w:rFonts w:ascii="Arial" w:hAnsi="Arial" w:cs="Arial"/>
                <w:sz w:val="24"/>
                <w:szCs w:val="24"/>
              </w:rPr>
            </w:pPr>
            <w:r>
              <w:rPr>
                <w:rFonts w:ascii="Arial" w:hAnsi="Arial" w:cs="Arial"/>
                <w:sz w:val="24"/>
                <w:szCs w:val="24"/>
              </w:rPr>
              <w:t>1.427</w:t>
            </w:r>
          </w:p>
        </w:tc>
        <w:tc>
          <w:tcPr>
            <w:tcW w:w="2124" w:type="dxa"/>
          </w:tcPr>
          <w:p w:rsidR="001B6C04" w:rsidRDefault="00BD4B6E">
            <w:pPr>
              <w:rPr>
                <w:rFonts w:ascii="Arial" w:hAnsi="Arial" w:cs="Arial"/>
                <w:sz w:val="24"/>
                <w:szCs w:val="24"/>
              </w:rPr>
            </w:pPr>
            <w:r>
              <w:rPr>
                <w:rFonts w:ascii="Arial" w:hAnsi="Arial" w:cs="Arial"/>
                <w:sz w:val="24"/>
                <w:szCs w:val="24"/>
              </w:rPr>
              <w:t>61,85</w:t>
            </w:r>
          </w:p>
        </w:tc>
      </w:tr>
      <w:tr w:rsidR="001B6C04" w:rsidTr="00BD4B6E">
        <w:tc>
          <w:tcPr>
            <w:tcW w:w="2830" w:type="dxa"/>
          </w:tcPr>
          <w:p w:rsidR="001B6C04" w:rsidRDefault="00012256">
            <w:pPr>
              <w:rPr>
                <w:rFonts w:ascii="Arial" w:hAnsi="Arial" w:cs="Arial"/>
                <w:sz w:val="24"/>
                <w:szCs w:val="24"/>
              </w:rPr>
            </w:pPr>
            <w:r>
              <w:rPr>
                <w:rFonts w:ascii="Arial" w:hAnsi="Arial" w:cs="Arial"/>
                <w:sz w:val="24"/>
                <w:szCs w:val="24"/>
              </w:rPr>
              <w:t>Asturias</w:t>
            </w:r>
          </w:p>
        </w:tc>
        <w:tc>
          <w:tcPr>
            <w:tcW w:w="1843" w:type="dxa"/>
          </w:tcPr>
          <w:p w:rsidR="001B6C04" w:rsidRDefault="00012256">
            <w:pPr>
              <w:rPr>
                <w:rFonts w:ascii="Arial" w:hAnsi="Arial" w:cs="Arial"/>
                <w:sz w:val="24"/>
                <w:szCs w:val="24"/>
              </w:rPr>
            </w:pPr>
            <w:r>
              <w:rPr>
                <w:rFonts w:ascii="Arial" w:hAnsi="Arial" w:cs="Arial"/>
                <w:sz w:val="24"/>
                <w:szCs w:val="24"/>
              </w:rPr>
              <w:t>2.310</w:t>
            </w:r>
          </w:p>
        </w:tc>
        <w:tc>
          <w:tcPr>
            <w:tcW w:w="1697" w:type="dxa"/>
          </w:tcPr>
          <w:p w:rsidR="001B6C04" w:rsidRDefault="00012256">
            <w:pPr>
              <w:rPr>
                <w:rFonts w:ascii="Arial" w:hAnsi="Arial" w:cs="Arial"/>
                <w:sz w:val="24"/>
                <w:szCs w:val="24"/>
              </w:rPr>
            </w:pPr>
            <w:r>
              <w:rPr>
                <w:rFonts w:ascii="Arial" w:hAnsi="Arial" w:cs="Arial"/>
                <w:sz w:val="24"/>
                <w:szCs w:val="24"/>
              </w:rPr>
              <w:t>1.433</w:t>
            </w:r>
          </w:p>
        </w:tc>
        <w:tc>
          <w:tcPr>
            <w:tcW w:w="2124" w:type="dxa"/>
          </w:tcPr>
          <w:p w:rsidR="001B6C04" w:rsidRDefault="00BD4B6E">
            <w:pPr>
              <w:rPr>
                <w:rFonts w:ascii="Arial" w:hAnsi="Arial" w:cs="Arial"/>
                <w:sz w:val="24"/>
                <w:szCs w:val="24"/>
              </w:rPr>
            </w:pPr>
            <w:r>
              <w:rPr>
                <w:rFonts w:ascii="Arial" w:hAnsi="Arial" w:cs="Arial"/>
                <w:sz w:val="24"/>
                <w:szCs w:val="24"/>
              </w:rPr>
              <w:t>62,03</w:t>
            </w:r>
          </w:p>
        </w:tc>
      </w:tr>
      <w:tr w:rsidR="001B6C04" w:rsidTr="00BD4B6E">
        <w:tc>
          <w:tcPr>
            <w:tcW w:w="2830" w:type="dxa"/>
          </w:tcPr>
          <w:p w:rsidR="001B6C04" w:rsidRDefault="00012256">
            <w:pPr>
              <w:rPr>
                <w:rFonts w:ascii="Arial" w:hAnsi="Arial" w:cs="Arial"/>
                <w:sz w:val="24"/>
                <w:szCs w:val="24"/>
              </w:rPr>
            </w:pPr>
            <w:r>
              <w:rPr>
                <w:rFonts w:ascii="Arial" w:hAnsi="Arial" w:cs="Arial"/>
                <w:sz w:val="24"/>
                <w:szCs w:val="24"/>
              </w:rPr>
              <w:t>Baleares</w:t>
            </w:r>
          </w:p>
        </w:tc>
        <w:tc>
          <w:tcPr>
            <w:tcW w:w="1843" w:type="dxa"/>
          </w:tcPr>
          <w:p w:rsidR="001B6C04" w:rsidRDefault="00012256">
            <w:pPr>
              <w:rPr>
                <w:rFonts w:ascii="Arial" w:hAnsi="Arial" w:cs="Arial"/>
                <w:sz w:val="24"/>
                <w:szCs w:val="24"/>
              </w:rPr>
            </w:pPr>
            <w:r>
              <w:rPr>
                <w:rFonts w:ascii="Arial" w:hAnsi="Arial" w:cs="Arial"/>
                <w:sz w:val="24"/>
                <w:szCs w:val="24"/>
              </w:rPr>
              <w:t>2.292</w:t>
            </w:r>
          </w:p>
        </w:tc>
        <w:tc>
          <w:tcPr>
            <w:tcW w:w="1697" w:type="dxa"/>
          </w:tcPr>
          <w:p w:rsidR="001B6C04" w:rsidRDefault="00012256">
            <w:pPr>
              <w:rPr>
                <w:rFonts w:ascii="Arial" w:hAnsi="Arial" w:cs="Arial"/>
                <w:sz w:val="24"/>
                <w:szCs w:val="24"/>
              </w:rPr>
            </w:pPr>
            <w:r>
              <w:rPr>
                <w:rFonts w:ascii="Arial" w:hAnsi="Arial" w:cs="Arial"/>
                <w:sz w:val="24"/>
                <w:szCs w:val="24"/>
              </w:rPr>
              <w:t>1.194</w:t>
            </w:r>
          </w:p>
        </w:tc>
        <w:tc>
          <w:tcPr>
            <w:tcW w:w="2124" w:type="dxa"/>
          </w:tcPr>
          <w:p w:rsidR="001B6C04" w:rsidRDefault="00BD4B6E">
            <w:pPr>
              <w:rPr>
                <w:rFonts w:ascii="Arial" w:hAnsi="Arial" w:cs="Arial"/>
                <w:sz w:val="24"/>
                <w:szCs w:val="24"/>
              </w:rPr>
            </w:pPr>
            <w:r>
              <w:rPr>
                <w:rFonts w:ascii="Arial" w:hAnsi="Arial" w:cs="Arial"/>
                <w:sz w:val="24"/>
                <w:szCs w:val="24"/>
              </w:rPr>
              <w:t>52,09</w:t>
            </w:r>
          </w:p>
        </w:tc>
      </w:tr>
      <w:tr w:rsidR="001B6C04" w:rsidTr="00BD4B6E">
        <w:tc>
          <w:tcPr>
            <w:tcW w:w="2830" w:type="dxa"/>
          </w:tcPr>
          <w:p w:rsidR="001B6C04" w:rsidRDefault="00012256">
            <w:pPr>
              <w:rPr>
                <w:rFonts w:ascii="Arial" w:hAnsi="Arial" w:cs="Arial"/>
                <w:sz w:val="24"/>
                <w:szCs w:val="24"/>
              </w:rPr>
            </w:pPr>
            <w:r>
              <w:rPr>
                <w:rFonts w:ascii="Arial" w:hAnsi="Arial" w:cs="Arial"/>
                <w:sz w:val="24"/>
                <w:szCs w:val="24"/>
              </w:rPr>
              <w:t>Canarias</w:t>
            </w:r>
          </w:p>
        </w:tc>
        <w:tc>
          <w:tcPr>
            <w:tcW w:w="1843" w:type="dxa"/>
          </w:tcPr>
          <w:p w:rsidR="001B6C04" w:rsidRDefault="00BD4B6E">
            <w:pPr>
              <w:rPr>
                <w:rFonts w:ascii="Arial" w:hAnsi="Arial" w:cs="Arial"/>
                <w:sz w:val="24"/>
                <w:szCs w:val="24"/>
              </w:rPr>
            </w:pPr>
            <w:r>
              <w:rPr>
                <w:rFonts w:ascii="Arial" w:hAnsi="Arial" w:cs="Arial"/>
                <w:sz w:val="24"/>
                <w:szCs w:val="24"/>
              </w:rPr>
              <w:t>2.666</w:t>
            </w:r>
          </w:p>
        </w:tc>
        <w:tc>
          <w:tcPr>
            <w:tcW w:w="1697" w:type="dxa"/>
          </w:tcPr>
          <w:p w:rsidR="001B6C04" w:rsidRDefault="00BD4B6E">
            <w:pPr>
              <w:rPr>
                <w:rFonts w:ascii="Arial" w:hAnsi="Arial" w:cs="Arial"/>
                <w:sz w:val="24"/>
                <w:szCs w:val="24"/>
              </w:rPr>
            </w:pPr>
            <w:r>
              <w:rPr>
                <w:rFonts w:ascii="Arial" w:hAnsi="Arial" w:cs="Arial"/>
                <w:sz w:val="24"/>
                <w:szCs w:val="24"/>
              </w:rPr>
              <w:t>1.232</w:t>
            </w:r>
          </w:p>
        </w:tc>
        <w:tc>
          <w:tcPr>
            <w:tcW w:w="2124" w:type="dxa"/>
          </w:tcPr>
          <w:p w:rsidR="001B6C04" w:rsidRDefault="00BD4B6E">
            <w:pPr>
              <w:rPr>
                <w:rFonts w:ascii="Arial" w:hAnsi="Arial" w:cs="Arial"/>
                <w:sz w:val="24"/>
                <w:szCs w:val="24"/>
              </w:rPr>
            </w:pPr>
            <w:r>
              <w:rPr>
                <w:rFonts w:ascii="Arial" w:hAnsi="Arial" w:cs="Arial"/>
                <w:sz w:val="24"/>
                <w:szCs w:val="24"/>
              </w:rPr>
              <w:t>46,21</w:t>
            </w:r>
          </w:p>
        </w:tc>
      </w:tr>
      <w:tr w:rsidR="001B6C04" w:rsidTr="00BD4B6E">
        <w:tc>
          <w:tcPr>
            <w:tcW w:w="2830" w:type="dxa"/>
          </w:tcPr>
          <w:p w:rsidR="001B6C04" w:rsidRDefault="00012256">
            <w:pPr>
              <w:rPr>
                <w:rFonts w:ascii="Arial" w:hAnsi="Arial" w:cs="Arial"/>
                <w:sz w:val="24"/>
                <w:szCs w:val="24"/>
              </w:rPr>
            </w:pPr>
            <w:r>
              <w:rPr>
                <w:rFonts w:ascii="Arial" w:hAnsi="Arial" w:cs="Arial"/>
                <w:sz w:val="24"/>
                <w:szCs w:val="24"/>
              </w:rPr>
              <w:t>Cantabria</w:t>
            </w:r>
          </w:p>
        </w:tc>
        <w:tc>
          <w:tcPr>
            <w:tcW w:w="1843" w:type="dxa"/>
          </w:tcPr>
          <w:p w:rsidR="001B6C04" w:rsidRDefault="00BD4B6E">
            <w:pPr>
              <w:rPr>
                <w:rFonts w:ascii="Arial" w:hAnsi="Arial" w:cs="Arial"/>
                <w:sz w:val="24"/>
                <w:szCs w:val="24"/>
              </w:rPr>
            </w:pPr>
            <w:r>
              <w:rPr>
                <w:rFonts w:ascii="Arial" w:hAnsi="Arial" w:cs="Arial"/>
                <w:sz w:val="24"/>
                <w:szCs w:val="24"/>
              </w:rPr>
              <w:t>2.659</w:t>
            </w:r>
          </w:p>
        </w:tc>
        <w:tc>
          <w:tcPr>
            <w:tcW w:w="1697" w:type="dxa"/>
          </w:tcPr>
          <w:p w:rsidR="001B6C04" w:rsidRDefault="00BD4B6E">
            <w:pPr>
              <w:rPr>
                <w:rFonts w:ascii="Arial" w:hAnsi="Arial" w:cs="Arial"/>
                <w:sz w:val="24"/>
                <w:szCs w:val="24"/>
              </w:rPr>
            </w:pPr>
            <w:r>
              <w:rPr>
                <w:rFonts w:ascii="Arial" w:hAnsi="Arial" w:cs="Arial"/>
                <w:sz w:val="24"/>
                <w:szCs w:val="24"/>
              </w:rPr>
              <w:t>1.406</w:t>
            </w:r>
          </w:p>
        </w:tc>
        <w:tc>
          <w:tcPr>
            <w:tcW w:w="2124" w:type="dxa"/>
          </w:tcPr>
          <w:p w:rsidR="001B6C04" w:rsidRDefault="00BD4B6E">
            <w:pPr>
              <w:rPr>
                <w:rFonts w:ascii="Arial" w:hAnsi="Arial" w:cs="Arial"/>
                <w:sz w:val="24"/>
                <w:szCs w:val="24"/>
              </w:rPr>
            </w:pPr>
            <w:r>
              <w:rPr>
                <w:rFonts w:ascii="Arial" w:hAnsi="Arial" w:cs="Arial"/>
                <w:sz w:val="24"/>
                <w:szCs w:val="24"/>
              </w:rPr>
              <w:t>52,87</w:t>
            </w:r>
          </w:p>
        </w:tc>
      </w:tr>
      <w:tr w:rsidR="001B6C04" w:rsidTr="00BD4B6E">
        <w:tc>
          <w:tcPr>
            <w:tcW w:w="2830" w:type="dxa"/>
          </w:tcPr>
          <w:p w:rsidR="001B6C04" w:rsidRDefault="00012256">
            <w:pPr>
              <w:rPr>
                <w:rFonts w:ascii="Arial" w:hAnsi="Arial" w:cs="Arial"/>
                <w:sz w:val="24"/>
                <w:szCs w:val="24"/>
              </w:rPr>
            </w:pPr>
            <w:r>
              <w:rPr>
                <w:rFonts w:ascii="Arial" w:hAnsi="Arial" w:cs="Arial"/>
                <w:sz w:val="24"/>
                <w:szCs w:val="24"/>
              </w:rPr>
              <w:t>Castilla León</w:t>
            </w:r>
          </w:p>
        </w:tc>
        <w:tc>
          <w:tcPr>
            <w:tcW w:w="1843" w:type="dxa"/>
          </w:tcPr>
          <w:p w:rsidR="001B6C04" w:rsidRDefault="00BD4B6E">
            <w:pPr>
              <w:rPr>
                <w:rFonts w:ascii="Arial" w:hAnsi="Arial" w:cs="Arial"/>
                <w:sz w:val="24"/>
                <w:szCs w:val="24"/>
              </w:rPr>
            </w:pPr>
            <w:r>
              <w:rPr>
                <w:rFonts w:ascii="Arial" w:hAnsi="Arial" w:cs="Arial"/>
                <w:sz w:val="24"/>
                <w:szCs w:val="24"/>
              </w:rPr>
              <w:t>2.341</w:t>
            </w:r>
          </w:p>
        </w:tc>
        <w:tc>
          <w:tcPr>
            <w:tcW w:w="1697" w:type="dxa"/>
          </w:tcPr>
          <w:p w:rsidR="001B6C04" w:rsidRDefault="00BD4B6E">
            <w:pPr>
              <w:rPr>
                <w:rFonts w:ascii="Arial" w:hAnsi="Arial" w:cs="Arial"/>
                <w:sz w:val="24"/>
                <w:szCs w:val="24"/>
              </w:rPr>
            </w:pPr>
            <w:r>
              <w:rPr>
                <w:rFonts w:ascii="Arial" w:hAnsi="Arial" w:cs="Arial"/>
                <w:sz w:val="24"/>
                <w:szCs w:val="24"/>
              </w:rPr>
              <w:t>1.268</w:t>
            </w:r>
          </w:p>
        </w:tc>
        <w:tc>
          <w:tcPr>
            <w:tcW w:w="2124" w:type="dxa"/>
          </w:tcPr>
          <w:p w:rsidR="001B6C04" w:rsidRDefault="00BD4B6E">
            <w:pPr>
              <w:rPr>
                <w:rFonts w:ascii="Arial" w:hAnsi="Arial" w:cs="Arial"/>
                <w:sz w:val="24"/>
                <w:szCs w:val="24"/>
              </w:rPr>
            </w:pPr>
            <w:r>
              <w:rPr>
                <w:rFonts w:ascii="Arial" w:hAnsi="Arial" w:cs="Arial"/>
                <w:sz w:val="24"/>
                <w:szCs w:val="24"/>
              </w:rPr>
              <w:t>54,16</w:t>
            </w:r>
          </w:p>
        </w:tc>
      </w:tr>
      <w:tr w:rsidR="00012256" w:rsidTr="00BD4B6E">
        <w:tc>
          <w:tcPr>
            <w:tcW w:w="2830" w:type="dxa"/>
          </w:tcPr>
          <w:p w:rsidR="00012256" w:rsidRDefault="00012256">
            <w:pPr>
              <w:rPr>
                <w:rFonts w:ascii="Arial" w:hAnsi="Arial" w:cs="Arial"/>
                <w:sz w:val="24"/>
                <w:szCs w:val="24"/>
              </w:rPr>
            </w:pPr>
            <w:r>
              <w:rPr>
                <w:rFonts w:ascii="Arial" w:hAnsi="Arial" w:cs="Arial"/>
                <w:sz w:val="24"/>
                <w:szCs w:val="24"/>
              </w:rPr>
              <w:t>Castilla la Mancha</w:t>
            </w:r>
          </w:p>
        </w:tc>
        <w:tc>
          <w:tcPr>
            <w:tcW w:w="1843" w:type="dxa"/>
          </w:tcPr>
          <w:p w:rsidR="00012256" w:rsidRDefault="00794E31">
            <w:pPr>
              <w:rPr>
                <w:rFonts w:ascii="Arial" w:hAnsi="Arial" w:cs="Arial"/>
                <w:sz w:val="24"/>
                <w:szCs w:val="24"/>
              </w:rPr>
            </w:pPr>
            <w:r>
              <w:rPr>
                <w:rFonts w:ascii="Arial" w:hAnsi="Arial" w:cs="Arial"/>
                <w:sz w:val="24"/>
                <w:szCs w:val="24"/>
              </w:rPr>
              <w:t>2.211</w:t>
            </w:r>
          </w:p>
        </w:tc>
        <w:tc>
          <w:tcPr>
            <w:tcW w:w="1697" w:type="dxa"/>
          </w:tcPr>
          <w:p w:rsidR="00012256" w:rsidRDefault="00794E31">
            <w:pPr>
              <w:rPr>
                <w:rFonts w:ascii="Arial" w:hAnsi="Arial" w:cs="Arial"/>
                <w:sz w:val="24"/>
                <w:szCs w:val="24"/>
              </w:rPr>
            </w:pPr>
            <w:r>
              <w:rPr>
                <w:rFonts w:ascii="Arial" w:hAnsi="Arial" w:cs="Arial"/>
                <w:sz w:val="24"/>
                <w:szCs w:val="24"/>
              </w:rPr>
              <w:t>1.213</w:t>
            </w:r>
          </w:p>
        </w:tc>
        <w:tc>
          <w:tcPr>
            <w:tcW w:w="2124" w:type="dxa"/>
          </w:tcPr>
          <w:p w:rsidR="00012256" w:rsidRDefault="00794E31">
            <w:pPr>
              <w:rPr>
                <w:rFonts w:ascii="Arial" w:hAnsi="Arial" w:cs="Arial"/>
                <w:sz w:val="24"/>
                <w:szCs w:val="24"/>
              </w:rPr>
            </w:pPr>
            <w:r>
              <w:rPr>
                <w:rFonts w:ascii="Arial" w:hAnsi="Arial" w:cs="Arial"/>
                <w:sz w:val="24"/>
                <w:szCs w:val="24"/>
              </w:rPr>
              <w:t>54,86</w:t>
            </w:r>
          </w:p>
        </w:tc>
      </w:tr>
      <w:tr w:rsidR="00012256" w:rsidTr="00BD4B6E">
        <w:tc>
          <w:tcPr>
            <w:tcW w:w="2830" w:type="dxa"/>
          </w:tcPr>
          <w:p w:rsidR="00012256" w:rsidRDefault="00BD4B6E">
            <w:pPr>
              <w:rPr>
                <w:rFonts w:ascii="Arial" w:hAnsi="Arial" w:cs="Arial"/>
                <w:sz w:val="24"/>
                <w:szCs w:val="24"/>
              </w:rPr>
            </w:pPr>
            <w:r>
              <w:rPr>
                <w:rFonts w:ascii="Arial" w:hAnsi="Arial" w:cs="Arial"/>
                <w:sz w:val="24"/>
                <w:szCs w:val="24"/>
              </w:rPr>
              <w:t>Cataluña</w:t>
            </w:r>
          </w:p>
        </w:tc>
        <w:tc>
          <w:tcPr>
            <w:tcW w:w="1843" w:type="dxa"/>
          </w:tcPr>
          <w:p w:rsidR="00012256" w:rsidRDefault="00794E31">
            <w:pPr>
              <w:rPr>
                <w:rFonts w:ascii="Arial" w:hAnsi="Arial" w:cs="Arial"/>
                <w:sz w:val="24"/>
                <w:szCs w:val="24"/>
              </w:rPr>
            </w:pPr>
            <w:r>
              <w:rPr>
                <w:rFonts w:ascii="Arial" w:hAnsi="Arial" w:cs="Arial"/>
                <w:sz w:val="24"/>
                <w:szCs w:val="24"/>
              </w:rPr>
              <w:t>2.114</w:t>
            </w:r>
          </w:p>
        </w:tc>
        <w:tc>
          <w:tcPr>
            <w:tcW w:w="1697" w:type="dxa"/>
          </w:tcPr>
          <w:p w:rsidR="00012256" w:rsidRDefault="00794E31">
            <w:pPr>
              <w:rPr>
                <w:rFonts w:ascii="Arial" w:hAnsi="Arial" w:cs="Arial"/>
                <w:sz w:val="24"/>
                <w:szCs w:val="24"/>
              </w:rPr>
            </w:pPr>
            <w:r>
              <w:rPr>
                <w:rFonts w:ascii="Arial" w:hAnsi="Arial" w:cs="Arial"/>
                <w:sz w:val="24"/>
                <w:szCs w:val="24"/>
              </w:rPr>
              <w:t>1.241</w:t>
            </w:r>
          </w:p>
        </w:tc>
        <w:tc>
          <w:tcPr>
            <w:tcW w:w="2124" w:type="dxa"/>
          </w:tcPr>
          <w:p w:rsidR="00012256" w:rsidRDefault="00794E31">
            <w:pPr>
              <w:rPr>
                <w:rFonts w:ascii="Arial" w:hAnsi="Arial" w:cs="Arial"/>
                <w:sz w:val="24"/>
                <w:szCs w:val="24"/>
              </w:rPr>
            </w:pPr>
            <w:r>
              <w:rPr>
                <w:rFonts w:ascii="Arial" w:hAnsi="Arial" w:cs="Arial"/>
                <w:sz w:val="24"/>
                <w:szCs w:val="24"/>
              </w:rPr>
              <w:t>58,70</w:t>
            </w:r>
          </w:p>
        </w:tc>
      </w:tr>
      <w:tr w:rsidR="00012256" w:rsidTr="00BD4B6E">
        <w:tc>
          <w:tcPr>
            <w:tcW w:w="2830" w:type="dxa"/>
          </w:tcPr>
          <w:p w:rsidR="00012256" w:rsidRDefault="00BD4B6E">
            <w:pPr>
              <w:rPr>
                <w:rFonts w:ascii="Arial" w:hAnsi="Arial" w:cs="Arial"/>
                <w:sz w:val="24"/>
                <w:szCs w:val="24"/>
              </w:rPr>
            </w:pPr>
            <w:r>
              <w:rPr>
                <w:rFonts w:ascii="Arial" w:hAnsi="Arial" w:cs="Arial"/>
                <w:sz w:val="24"/>
                <w:szCs w:val="24"/>
              </w:rPr>
              <w:t>Comunidad Valenciana</w:t>
            </w:r>
          </w:p>
        </w:tc>
        <w:tc>
          <w:tcPr>
            <w:tcW w:w="1843" w:type="dxa"/>
          </w:tcPr>
          <w:p w:rsidR="00012256" w:rsidRDefault="00794E31">
            <w:pPr>
              <w:rPr>
                <w:rFonts w:ascii="Arial" w:hAnsi="Arial" w:cs="Arial"/>
                <w:sz w:val="24"/>
                <w:szCs w:val="24"/>
              </w:rPr>
            </w:pPr>
            <w:r>
              <w:rPr>
                <w:rFonts w:ascii="Arial" w:hAnsi="Arial" w:cs="Arial"/>
                <w:sz w:val="24"/>
                <w:szCs w:val="24"/>
              </w:rPr>
              <w:t>1.997</w:t>
            </w:r>
          </w:p>
        </w:tc>
        <w:tc>
          <w:tcPr>
            <w:tcW w:w="1697" w:type="dxa"/>
          </w:tcPr>
          <w:p w:rsidR="00012256" w:rsidRDefault="00794E31">
            <w:pPr>
              <w:rPr>
                <w:rFonts w:ascii="Arial" w:hAnsi="Arial" w:cs="Arial"/>
                <w:sz w:val="24"/>
                <w:szCs w:val="24"/>
              </w:rPr>
            </w:pPr>
            <w:r>
              <w:rPr>
                <w:rFonts w:ascii="Arial" w:hAnsi="Arial" w:cs="Arial"/>
                <w:sz w:val="24"/>
                <w:szCs w:val="24"/>
              </w:rPr>
              <w:t>1.195</w:t>
            </w:r>
          </w:p>
        </w:tc>
        <w:tc>
          <w:tcPr>
            <w:tcW w:w="2124" w:type="dxa"/>
          </w:tcPr>
          <w:p w:rsidR="00012256" w:rsidRDefault="00794E31">
            <w:pPr>
              <w:rPr>
                <w:rFonts w:ascii="Arial" w:hAnsi="Arial" w:cs="Arial"/>
                <w:sz w:val="24"/>
                <w:szCs w:val="24"/>
              </w:rPr>
            </w:pPr>
            <w:r>
              <w:rPr>
                <w:rFonts w:ascii="Arial" w:hAnsi="Arial" w:cs="Arial"/>
                <w:sz w:val="24"/>
                <w:szCs w:val="24"/>
              </w:rPr>
              <w:t>59,68</w:t>
            </w:r>
          </w:p>
        </w:tc>
      </w:tr>
      <w:tr w:rsidR="00012256" w:rsidTr="00BD4B6E">
        <w:tc>
          <w:tcPr>
            <w:tcW w:w="2830" w:type="dxa"/>
          </w:tcPr>
          <w:p w:rsidR="00012256" w:rsidRDefault="00BD4B6E">
            <w:pPr>
              <w:rPr>
                <w:rFonts w:ascii="Arial" w:hAnsi="Arial" w:cs="Arial"/>
                <w:sz w:val="24"/>
                <w:szCs w:val="24"/>
              </w:rPr>
            </w:pPr>
            <w:r>
              <w:rPr>
                <w:rFonts w:ascii="Arial" w:hAnsi="Arial" w:cs="Arial"/>
                <w:sz w:val="24"/>
                <w:szCs w:val="24"/>
              </w:rPr>
              <w:t>Extremadura</w:t>
            </w:r>
          </w:p>
        </w:tc>
        <w:tc>
          <w:tcPr>
            <w:tcW w:w="1843" w:type="dxa"/>
          </w:tcPr>
          <w:p w:rsidR="00012256" w:rsidRDefault="00794E31">
            <w:pPr>
              <w:rPr>
                <w:rFonts w:ascii="Arial" w:hAnsi="Arial" w:cs="Arial"/>
                <w:sz w:val="24"/>
                <w:szCs w:val="24"/>
              </w:rPr>
            </w:pPr>
            <w:r>
              <w:rPr>
                <w:rFonts w:ascii="Arial" w:hAnsi="Arial" w:cs="Arial"/>
                <w:sz w:val="24"/>
                <w:szCs w:val="24"/>
              </w:rPr>
              <w:t>2.498</w:t>
            </w:r>
          </w:p>
        </w:tc>
        <w:tc>
          <w:tcPr>
            <w:tcW w:w="1697" w:type="dxa"/>
          </w:tcPr>
          <w:p w:rsidR="00012256" w:rsidRDefault="00794E31">
            <w:pPr>
              <w:rPr>
                <w:rFonts w:ascii="Arial" w:hAnsi="Arial" w:cs="Arial"/>
                <w:sz w:val="24"/>
                <w:szCs w:val="24"/>
              </w:rPr>
            </w:pPr>
            <w:r>
              <w:rPr>
                <w:rFonts w:ascii="Arial" w:hAnsi="Arial" w:cs="Arial"/>
                <w:sz w:val="24"/>
                <w:szCs w:val="24"/>
              </w:rPr>
              <w:t>1.448</w:t>
            </w:r>
          </w:p>
        </w:tc>
        <w:tc>
          <w:tcPr>
            <w:tcW w:w="2124" w:type="dxa"/>
          </w:tcPr>
          <w:p w:rsidR="00012256" w:rsidRDefault="00794E31">
            <w:pPr>
              <w:rPr>
                <w:rFonts w:ascii="Arial" w:hAnsi="Arial" w:cs="Arial"/>
                <w:sz w:val="24"/>
                <w:szCs w:val="24"/>
              </w:rPr>
            </w:pPr>
            <w:r>
              <w:rPr>
                <w:rFonts w:ascii="Arial" w:hAnsi="Arial" w:cs="Arial"/>
                <w:sz w:val="24"/>
                <w:szCs w:val="24"/>
              </w:rPr>
              <w:t>57,96</w:t>
            </w:r>
          </w:p>
        </w:tc>
      </w:tr>
      <w:tr w:rsidR="00BD4B6E" w:rsidTr="00BD4B6E">
        <w:tc>
          <w:tcPr>
            <w:tcW w:w="2830" w:type="dxa"/>
          </w:tcPr>
          <w:p w:rsidR="00BD4B6E" w:rsidRDefault="00BD4B6E">
            <w:pPr>
              <w:rPr>
                <w:rFonts w:ascii="Arial" w:hAnsi="Arial" w:cs="Arial"/>
                <w:sz w:val="24"/>
                <w:szCs w:val="24"/>
              </w:rPr>
            </w:pPr>
            <w:r>
              <w:rPr>
                <w:rFonts w:ascii="Arial" w:hAnsi="Arial" w:cs="Arial"/>
                <w:sz w:val="24"/>
                <w:szCs w:val="24"/>
              </w:rPr>
              <w:t>Galicia</w:t>
            </w:r>
          </w:p>
        </w:tc>
        <w:tc>
          <w:tcPr>
            <w:tcW w:w="1843" w:type="dxa"/>
          </w:tcPr>
          <w:p w:rsidR="00BD4B6E" w:rsidRDefault="00207626">
            <w:pPr>
              <w:rPr>
                <w:rFonts w:ascii="Arial" w:hAnsi="Arial" w:cs="Arial"/>
                <w:sz w:val="24"/>
                <w:szCs w:val="24"/>
              </w:rPr>
            </w:pPr>
            <w:r>
              <w:rPr>
                <w:rFonts w:ascii="Arial" w:hAnsi="Arial" w:cs="Arial"/>
                <w:sz w:val="24"/>
                <w:szCs w:val="24"/>
              </w:rPr>
              <w:t>2.269</w:t>
            </w:r>
          </w:p>
        </w:tc>
        <w:tc>
          <w:tcPr>
            <w:tcW w:w="1697" w:type="dxa"/>
          </w:tcPr>
          <w:p w:rsidR="00BD4B6E" w:rsidRDefault="00207626">
            <w:pPr>
              <w:rPr>
                <w:rFonts w:ascii="Arial" w:hAnsi="Arial" w:cs="Arial"/>
                <w:sz w:val="24"/>
                <w:szCs w:val="24"/>
              </w:rPr>
            </w:pPr>
            <w:r>
              <w:rPr>
                <w:rFonts w:ascii="Arial" w:hAnsi="Arial" w:cs="Arial"/>
                <w:sz w:val="24"/>
                <w:szCs w:val="24"/>
              </w:rPr>
              <w:t>1.293</w:t>
            </w:r>
          </w:p>
        </w:tc>
        <w:tc>
          <w:tcPr>
            <w:tcW w:w="2124" w:type="dxa"/>
          </w:tcPr>
          <w:p w:rsidR="00BD4B6E" w:rsidRDefault="00207626">
            <w:pPr>
              <w:rPr>
                <w:rFonts w:ascii="Arial" w:hAnsi="Arial" w:cs="Arial"/>
                <w:sz w:val="24"/>
                <w:szCs w:val="24"/>
              </w:rPr>
            </w:pPr>
            <w:r>
              <w:rPr>
                <w:rFonts w:ascii="Arial" w:hAnsi="Arial" w:cs="Arial"/>
                <w:sz w:val="24"/>
                <w:szCs w:val="24"/>
              </w:rPr>
              <w:t>56,98</w:t>
            </w:r>
          </w:p>
        </w:tc>
      </w:tr>
      <w:tr w:rsidR="00BD4B6E" w:rsidTr="00BD4B6E">
        <w:tc>
          <w:tcPr>
            <w:tcW w:w="2830" w:type="dxa"/>
          </w:tcPr>
          <w:p w:rsidR="00BD4B6E" w:rsidRDefault="00BD4B6E">
            <w:pPr>
              <w:rPr>
                <w:rFonts w:ascii="Arial" w:hAnsi="Arial" w:cs="Arial"/>
                <w:sz w:val="24"/>
                <w:szCs w:val="24"/>
              </w:rPr>
            </w:pPr>
            <w:r>
              <w:rPr>
                <w:rFonts w:ascii="Arial" w:hAnsi="Arial" w:cs="Arial"/>
                <w:sz w:val="24"/>
                <w:szCs w:val="24"/>
              </w:rPr>
              <w:t>Madrid</w:t>
            </w:r>
          </w:p>
        </w:tc>
        <w:tc>
          <w:tcPr>
            <w:tcW w:w="1843" w:type="dxa"/>
          </w:tcPr>
          <w:p w:rsidR="00BD4B6E" w:rsidRDefault="00207626">
            <w:pPr>
              <w:rPr>
                <w:rFonts w:ascii="Arial" w:hAnsi="Arial" w:cs="Arial"/>
                <w:sz w:val="24"/>
                <w:szCs w:val="24"/>
              </w:rPr>
            </w:pPr>
            <w:r>
              <w:rPr>
                <w:rFonts w:ascii="Arial" w:hAnsi="Arial" w:cs="Arial"/>
                <w:sz w:val="24"/>
                <w:szCs w:val="24"/>
              </w:rPr>
              <w:t>2.138</w:t>
            </w:r>
          </w:p>
        </w:tc>
        <w:tc>
          <w:tcPr>
            <w:tcW w:w="1697" w:type="dxa"/>
          </w:tcPr>
          <w:p w:rsidR="00BD4B6E" w:rsidRDefault="00207626">
            <w:pPr>
              <w:rPr>
                <w:rFonts w:ascii="Arial" w:hAnsi="Arial" w:cs="Arial"/>
                <w:sz w:val="24"/>
                <w:szCs w:val="24"/>
              </w:rPr>
            </w:pPr>
            <w:r>
              <w:rPr>
                <w:rFonts w:ascii="Arial" w:hAnsi="Arial" w:cs="Arial"/>
                <w:sz w:val="24"/>
                <w:szCs w:val="24"/>
              </w:rPr>
              <w:t>1.164</w:t>
            </w:r>
          </w:p>
        </w:tc>
        <w:tc>
          <w:tcPr>
            <w:tcW w:w="2124" w:type="dxa"/>
          </w:tcPr>
          <w:p w:rsidR="00BD4B6E" w:rsidRDefault="00207626">
            <w:pPr>
              <w:rPr>
                <w:rFonts w:ascii="Arial" w:hAnsi="Arial" w:cs="Arial"/>
                <w:sz w:val="24"/>
                <w:szCs w:val="24"/>
              </w:rPr>
            </w:pPr>
            <w:r>
              <w:rPr>
                <w:rFonts w:ascii="Arial" w:hAnsi="Arial" w:cs="Arial"/>
                <w:sz w:val="24"/>
                <w:szCs w:val="24"/>
              </w:rPr>
              <w:t>54,44</w:t>
            </w:r>
          </w:p>
        </w:tc>
      </w:tr>
      <w:tr w:rsidR="00BD4B6E" w:rsidTr="00BD4B6E">
        <w:tc>
          <w:tcPr>
            <w:tcW w:w="2830" w:type="dxa"/>
          </w:tcPr>
          <w:p w:rsidR="00BD4B6E" w:rsidRDefault="00BD4B6E">
            <w:pPr>
              <w:rPr>
                <w:rFonts w:ascii="Arial" w:hAnsi="Arial" w:cs="Arial"/>
                <w:sz w:val="24"/>
                <w:szCs w:val="24"/>
              </w:rPr>
            </w:pPr>
            <w:r>
              <w:rPr>
                <w:rFonts w:ascii="Arial" w:hAnsi="Arial" w:cs="Arial"/>
                <w:sz w:val="24"/>
                <w:szCs w:val="24"/>
              </w:rPr>
              <w:t>Murcia</w:t>
            </w:r>
          </w:p>
        </w:tc>
        <w:tc>
          <w:tcPr>
            <w:tcW w:w="1843" w:type="dxa"/>
          </w:tcPr>
          <w:p w:rsidR="00BD4B6E" w:rsidRDefault="00207626">
            <w:pPr>
              <w:rPr>
                <w:rFonts w:ascii="Arial" w:hAnsi="Arial" w:cs="Arial"/>
                <w:sz w:val="24"/>
                <w:szCs w:val="24"/>
              </w:rPr>
            </w:pPr>
            <w:r>
              <w:rPr>
                <w:rFonts w:ascii="Arial" w:hAnsi="Arial" w:cs="Arial"/>
                <w:sz w:val="24"/>
                <w:szCs w:val="24"/>
              </w:rPr>
              <w:t>2.084</w:t>
            </w:r>
          </w:p>
        </w:tc>
        <w:tc>
          <w:tcPr>
            <w:tcW w:w="1697" w:type="dxa"/>
          </w:tcPr>
          <w:p w:rsidR="00BD4B6E" w:rsidRDefault="00207626">
            <w:pPr>
              <w:rPr>
                <w:rFonts w:ascii="Arial" w:hAnsi="Arial" w:cs="Arial"/>
                <w:sz w:val="24"/>
                <w:szCs w:val="24"/>
              </w:rPr>
            </w:pPr>
            <w:r>
              <w:rPr>
                <w:rFonts w:ascii="Arial" w:hAnsi="Arial" w:cs="Arial"/>
                <w:sz w:val="24"/>
                <w:szCs w:val="24"/>
              </w:rPr>
              <w:t>1.419</w:t>
            </w:r>
          </w:p>
        </w:tc>
        <w:tc>
          <w:tcPr>
            <w:tcW w:w="2124" w:type="dxa"/>
          </w:tcPr>
          <w:p w:rsidR="00BD4B6E" w:rsidRDefault="00207626">
            <w:pPr>
              <w:rPr>
                <w:rFonts w:ascii="Arial" w:hAnsi="Arial" w:cs="Arial"/>
                <w:sz w:val="24"/>
                <w:szCs w:val="24"/>
              </w:rPr>
            </w:pPr>
            <w:r>
              <w:rPr>
                <w:rFonts w:ascii="Arial" w:hAnsi="Arial" w:cs="Arial"/>
                <w:sz w:val="24"/>
                <w:szCs w:val="24"/>
              </w:rPr>
              <w:t>68,09</w:t>
            </w:r>
          </w:p>
        </w:tc>
      </w:tr>
      <w:tr w:rsidR="00BD4B6E" w:rsidTr="00BD4B6E">
        <w:tc>
          <w:tcPr>
            <w:tcW w:w="2830" w:type="dxa"/>
          </w:tcPr>
          <w:p w:rsidR="00BD4B6E" w:rsidRDefault="00BD4B6E">
            <w:pPr>
              <w:rPr>
                <w:rFonts w:ascii="Arial" w:hAnsi="Arial" w:cs="Arial"/>
                <w:sz w:val="24"/>
                <w:szCs w:val="24"/>
              </w:rPr>
            </w:pPr>
            <w:r>
              <w:rPr>
                <w:rFonts w:ascii="Arial" w:hAnsi="Arial" w:cs="Arial"/>
                <w:sz w:val="24"/>
                <w:szCs w:val="24"/>
              </w:rPr>
              <w:t>La Rioja</w:t>
            </w:r>
          </w:p>
        </w:tc>
        <w:tc>
          <w:tcPr>
            <w:tcW w:w="1843" w:type="dxa"/>
          </w:tcPr>
          <w:p w:rsidR="00BD4B6E" w:rsidRDefault="00207626">
            <w:pPr>
              <w:rPr>
                <w:rFonts w:ascii="Arial" w:hAnsi="Arial" w:cs="Arial"/>
                <w:sz w:val="24"/>
                <w:szCs w:val="24"/>
              </w:rPr>
            </w:pPr>
            <w:r>
              <w:rPr>
                <w:rFonts w:ascii="Arial" w:hAnsi="Arial" w:cs="Arial"/>
                <w:sz w:val="24"/>
                <w:szCs w:val="24"/>
              </w:rPr>
              <w:t>2.666</w:t>
            </w:r>
          </w:p>
        </w:tc>
        <w:tc>
          <w:tcPr>
            <w:tcW w:w="1697" w:type="dxa"/>
          </w:tcPr>
          <w:p w:rsidR="00BD4B6E" w:rsidRDefault="00207626">
            <w:pPr>
              <w:rPr>
                <w:rFonts w:ascii="Arial" w:hAnsi="Arial" w:cs="Arial"/>
                <w:sz w:val="24"/>
                <w:szCs w:val="24"/>
              </w:rPr>
            </w:pPr>
            <w:r>
              <w:rPr>
                <w:rFonts w:ascii="Arial" w:hAnsi="Arial" w:cs="Arial"/>
                <w:sz w:val="24"/>
                <w:szCs w:val="24"/>
              </w:rPr>
              <w:t>1.330</w:t>
            </w:r>
          </w:p>
        </w:tc>
        <w:tc>
          <w:tcPr>
            <w:tcW w:w="2124" w:type="dxa"/>
          </w:tcPr>
          <w:p w:rsidR="00BD4B6E" w:rsidRDefault="00207626">
            <w:pPr>
              <w:rPr>
                <w:rFonts w:ascii="Arial" w:hAnsi="Arial" w:cs="Arial"/>
                <w:sz w:val="24"/>
                <w:szCs w:val="24"/>
              </w:rPr>
            </w:pPr>
            <w:r>
              <w:rPr>
                <w:rFonts w:ascii="Arial" w:hAnsi="Arial" w:cs="Arial"/>
                <w:sz w:val="24"/>
                <w:szCs w:val="24"/>
              </w:rPr>
              <w:t>49,88</w:t>
            </w:r>
          </w:p>
        </w:tc>
      </w:tr>
      <w:tr w:rsidR="00207626" w:rsidTr="00BD4B6E">
        <w:tc>
          <w:tcPr>
            <w:tcW w:w="2830" w:type="dxa"/>
          </w:tcPr>
          <w:p w:rsidR="00207626" w:rsidRPr="00207626" w:rsidRDefault="00207626">
            <w:pPr>
              <w:rPr>
                <w:rFonts w:ascii="Arial" w:hAnsi="Arial" w:cs="Arial"/>
                <w:b/>
                <w:sz w:val="24"/>
                <w:szCs w:val="24"/>
              </w:rPr>
            </w:pPr>
            <w:r w:rsidRPr="00207626">
              <w:rPr>
                <w:rFonts w:ascii="Arial" w:hAnsi="Arial" w:cs="Arial"/>
                <w:b/>
                <w:sz w:val="24"/>
                <w:szCs w:val="24"/>
              </w:rPr>
              <w:t>Promedio</w:t>
            </w:r>
          </w:p>
        </w:tc>
        <w:tc>
          <w:tcPr>
            <w:tcW w:w="1843" w:type="dxa"/>
          </w:tcPr>
          <w:p w:rsidR="00207626" w:rsidRPr="00207626" w:rsidRDefault="00207626">
            <w:pPr>
              <w:rPr>
                <w:rFonts w:ascii="Arial" w:hAnsi="Arial" w:cs="Arial"/>
                <w:b/>
                <w:sz w:val="24"/>
                <w:szCs w:val="24"/>
              </w:rPr>
            </w:pPr>
            <w:r w:rsidRPr="00207626">
              <w:rPr>
                <w:rFonts w:ascii="Arial" w:hAnsi="Arial" w:cs="Arial"/>
                <w:b/>
                <w:sz w:val="24"/>
                <w:szCs w:val="24"/>
              </w:rPr>
              <w:t>2.175</w:t>
            </w:r>
          </w:p>
        </w:tc>
        <w:tc>
          <w:tcPr>
            <w:tcW w:w="1697" w:type="dxa"/>
          </w:tcPr>
          <w:p w:rsidR="00207626" w:rsidRPr="00207626" w:rsidRDefault="00207626">
            <w:pPr>
              <w:rPr>
                <w:rFonts w:ascii="Arial" w:hAnsi="Arial" w:cs="Arial"/>
                <w:b/>
                <w:sz w:val="24"/>
                <w:szCs w:val="24"/>
              </w:rPr>
            </w:pPr>
            <w:r w:rsidRPr="00207626">
              <w:rPr>
                <w:rFonts w:ascii="Arial" w:hAnsi="Arial" w:cs="Arial"/>
                <w:b/>
                <w:sz w:val="24"/>
                <w:szCs w:val="24"/>
              </w:rPr>
              <w:t>1.233</w:t>
            </w:r>
          </w:p>
        </w:tc>
        <w:tc>
          <w:tcPr>
            <w:tcW w:w="2124" w:type="dxa"/>
          </w:tcPr>
          <w:p w:rsidR="00207626" w:rsidRPr="00207626" w:rsidRDefault="00207626">
            <w:pPr>
              <w:rPr>
                <w:rFonts w:ascii="Arial" w:hAnsi="Arial" w:cs="Arial"/>
                <w:b/>
                <w:sz w:val="24"/>
                <w:szCs w:val="24"/>
              </w:rPr>
            </w:pPr>
            <w:r w:rsidRPr="00207626">
              <w:rPr>
                <w:rFonts w:ascii="Arial" w:hAnsi="Arial" w:cs="Arial"/>
                <w:b/>
                <w:sz w:val="24"/>
                <w:szCs w:val="24"/>
              </w:rPr>
              <w:t>56,66</w:t>
            </w:r>
          </w:p>
        </w:tc>
      </w:tr>
    </w:tbl>
    <w:p w:rsidR="001B6C04" w:rsidRDefault="001B6C04">
      <w:pPr>
        <w:rPr>
          <w:rFonts w:ascii="Arial" w:hAnsi="Arial" w:cs="Arial"/>
          <w:sz w:val="24"/>
          <w:szCs w:val="24"/>
        </w:rPr>
      </w:pPr>
    </w:p>
    <w:p w:rsidR="001B6C04" w:rsidRDefault="00606971" w:rsidP="00606971">
      <w:pPr>
        <w:jc w:val="both"/>
        <w:rPr>
          <w:rFonts w:ascii="Arial" w:hAnsi="Arial" w:cs="Arial"/>
          <w:sz w:val="24"/>
          <w:szCs w:val="24"/>
        </w:rPr>
      </w:pPr>
      <w:r>
        <w:rPr>
          <w:rFonts w:ascii="Arial" w:hAnsi="Arial" w:cs="Arial"/>
          <w:sz w:val="24"/>
          <w:szCs w:val="24"/>
        </w:rPr>
        <w:t xml:space="preserve">En él se observa que aunque el promedio de financiación autonómica per </w:t>
      </w:r>
      <w:proofErr w:type="spellStart"/>
      <w:r>
        <w:rPr>
          <w:rFonts w:ascii="Arial" w:hAnsi="Arial" w:cs="Arial"/>
          <w:sz w:val="24"/>
          <w:szCs w:val="24"/>
        </w:rPr>
        <w:t>capita</w:t>
      </w:r>
      <w:proofErr w:type="spellEnd"/>
      <w:r>
        <w:rPr>
          <w:rFonts w:ascii="Arial" w:hAnsi="Arial" w:cs="Arial"/>
          <w:sz w:val="24"/>
          <w:szCs w:val="24"/>
        </w:rPr>
        <w:t xml:space="preserve"> que se destina a la Sanidad Pública es del 56,66% este </w:t>
      </w:r>
      <w:r w:rsidR="00123AA5">
        <w:rPr>
          <w:rFonts w:ascii="Arial" w:hAnsi="Arial" w:cs="Arial"/>
          <w:sz w:val="24"/>
          <w:szCs w:val="24"/>
        </w:rPr>
        <w:t>porcentaje oscila entre el 46,21% de Canarias</w:t>
      </w:r>
      <w:r>
        <w:rPr>
          <w:rFonts w:ascii="Arial" w:hAnsi="Arial" w:cs="Arial"/>
          <w:sz w:val="24"/>
          <w:szCs w:val="24"/>
        </w:rPr>
        <w:t xml:space="preserve"> y el 68,09% de Murcia</w:t>
      </w:r>
      <w:r w:rsidR="00123AA5">
        <w:rPr>
          <w:rFonts w:ascii="Arial" w:hAnsi="Arial" w:cs="Arial"/>
          <w:sz w:val="24"/>
          <w:szCs w:val="24"/>
        </w:rPr>
        <w:t xml:space="preserve">, o por ejemplo que la comunidad autónoma con menor financiación general per </w:t>
      </w:r>
      <w:proofErr w:type="spellStart"/>
      <w:r w:rsidR="00123AA5">
        <w:rPr>
          <w:rFonts w:ascii="Arial" w:hAnsi="Arial" w:cs="Arial"/>
          <w:sz w:val="24"/>
          <w:szCs w:val="24"/>
        </w:rPr>
        <w:t>capita</w:t>
      </w:r>
      <w:proofErr w:type="spellEnd"/>
      <w:r w:rsidR="00123AA5">
        <w:rPr>
          <w:rFonts w:ascii="Arial" w:hAnsi="Arial" w:cs="Arial"/>
          <w:sz w:val="24"/>
          <w:szCs w:val="24"/>
        </w:rPr>
        <w:t xml:space="preserve"> (Valencia) destina un 59,68% a la Sanidad. Todo ello </w:t>
      </w:r>
      <w:r>
        <w:rPr>
          <w:rFonts w:ascii="Arial" w:hAnsi="Arial" w:cs="Arial"/>
          <w:sz w:val="24"/>
          <w:szCs w:val="24"/>
        </w:rPr>
        <w:t>evidencia que el gasto sanitario no tiene tanto que ver con la financiación autonómica como con la decisión política de cada una de las CCAA</w:t>
      </w:r>
      <w:r w:rsidR="00123AA5">
        <w:rPr>
          <w:rFonts w:ascii="Arial" w:hAnsi="Arial" w:cs="Arial"/>
          <w:sz w:val="24"/>
          <w:szCs w:val="24"/>
        </w:rPr>
        <w:t>.</w:t>
      </w:r>
    </w:p>
    <w:p w:rsidR="00123AA5" w:rsidRDefault="00123AA5" w:rsidP="00606971">
      <w:pPr>
        <w:jc w:val="both"/>
        <w:rPr>
          <w:rFonts w:ascii="Arial" w:hAnsi="Arial" w:cs="Arial"/>
          <w:sz w:val="24"/>
          <w:szCs w:val="24"/>
        </w:rPr>
      </w:pPr>
      <w:r>
        <w:rPr>
          <w:rFonts w:ascii="Arial" w:hAnsi="Arial" w:cs="Arial"/>
          <w:sz w:val="24"/>
          <w:szCs w:val="24"/>
        </w:rPr>
        <w:t xml:space="preserve">Por otro lado llama la atención que aspectos centrales de las necesidades de financiación sanitaria como el establecimiento de las necesidades de salud de la población, de los objetivos de salud del sistema sanitario, o el establecimiento de sistemas de compensación para la atención sanitaria realizada a personas residentes en otras CCAA (ahora mismo cerca del 25% de la población española se encuentra en una comunidad autónoma distinta a la de su residencia habitual) ni siquiera se hayan considerado.  </w:t>
      </w:r>
    </w:p>
    <w:p w:rsidR="001B6C04" w:rsidRDefault="00324BB8" w:rsidP="00123AA5">
      <w:pPr>
        <w:jc w:val="both"/>
        <w:rPr>
          <w:rFonts w:ascii="Arial" w:hAnsi="Arial" w:cs="Arial"/>
          <w:sz w:val="24"/>
          <w:szCs w:val="24"/>
        </w:rPr>
      </w:pPr>
      <w:r>
        <w:rPr>
          <w:rFonts w:ascii="Arial" w:hAnsi="Arial" w:cs="Arial"/>
          <w:sz w:val="24"/>
          <w:szCs w:val="24"/>
        </w:rPr>
        <w:t xml:space="preserve">Desde la Federación de Asociaciones para la Defensa de la Sanidad Pública entendemos que las soluciones a los problemas existentes no van por estas propuestas economicistas y desenfocadas, en nuestra opinión un </w:t>
      </w:r>
      <w:r w:rsidR="00DE3823" w:rsidRPr="00DE3823">
        <w:rPr>
          <w:rFonts w:ascii="Arial" w:hAnsi="Arial" w:cs="Arial"/>
          <w:sz w:val="24"/>
          <w:szCs w:val="24"/>
        </w:rPr>
        <w:t xml:space="preserve">nuevo modelo de financiación sanitaria debería: </w:t>
      </w:r>
    </w:p>
    <w:p w:rsidR="001B6C04" w:rsidRDefault="00DE3823" w:rsidP="00123AA5">
      <w:pPr>
        <w:jc w:val="both"/>
        <w:rPr>
          <w:rFonts w:ascii="Arial" w:hAnsi="Arial" w:cs="Arial"/>
          <w:sz w:val="24"/>
          <w:szCs w:val="24"/>
        </w:rPr>
      </w:pPr>
      <w:r w:rsidRPr="00DE3823">
        <w:rPr>
          <w:rFonts w:ascii="Arial" w:hAnsi="Arial" w:cs="Arial"/>
          <w:sz w:val="24"/>
          <w:szCs w:val="24"/>
        </w:rPr>
        <w:t xml:space="preserve">1. Garantizar la suficiencia financiera y la equidad entre CCAA, muy afectada por la crisis, los recortes y las deficiencias del actual modelo (basado en población y unos fondos de compensación irracionales). Para lo que habría que incrementar la carga impositiva a los sectores económicamente más poderosos que apenas pagan impuestos, modificar el sistema para que no descanse en impuestos indirectos que incrementan la desigualdad y afectan al modelo de una sanidad </w:t>
      </w:r>
      <w:r w:rsidRPr="00DE3823">
        <w:rPr>
          <w:rFonts w:ascii="Arial" w:hAnsi="Arial" w:cs="Arial"/>
          <w:sz w:val="24"/>
          <w:szCs w:val="24"/>
        </w:rPr>
        <w:lastRenderedPageBreak/>
        <w:t xml:space="preserve">redistributiva y obligar a todas las CCAA a recuperar el impuesto de patrimonio y el de sucesiones. </w:t>
      </w:r>
    </w:p>
    <w:p w:rsidR="001B6C04" w:rsidRDefault="00DE3823" w:rsidP="00123AA5">
      <w:pPr>
        <w:jc w:val="both"/>
        <w:rPr>
          <w:rFonts w:ascii="Arial" w:hAnsi="Arial" w:cs="Arial"/>
          <w:sz w:val="24"/>
          <w:szCs w:val="24"/>
        </w:rPr>
      </w:pPr>
      <w:r w:rsidRPr="00DE3823">
        <w:rPr>
          <w:rFonts w:ascii="Arial" w:hAnsi="Arial" w:cs="Arial"/>
          <w:sz w:val="24"/>
          <w:szCs w:val="24"/>
        </w:rPr>
        <w:t xml:space="preserve">2. Devolver el carácter finalista a la financiación sanitaria, con obligación de destinar un montante similar en cada CCAA e impedir que algunas CCAA practiquen dumping social reduciendo impuestos a las empresas y capitales para conseguir mayores inversiones. </w:t>
      </w:r>
    </w:p>
    <w:p w:rsidR="001B6C04" w:rsidRDefault="00DE3823" w:rsidP="00123AA5">
      <w:pPr>
        <w:jc w:val="both"/>
        <w:rPr>
          <w:rFonts w:ascii="Arial" w:hAnsi="Arial" w:cs="Arial"/>
          <w:sz w:val="24"/>
          <w:szCs w:val="24"/>
        </w:rPr>
      </w:pPr>
      <w:r w:rsidRPr="00DE3823">
        <w:rPr>
          <w:rFonts w:ascii="Arial" w:hAnsi="Arial" w:cs="Arial"/>
          <w:sz w:val="24"/>
          <w:szCs w:val="24"/>
        </w:rPr>
        <w:t xml:space="preserve">3. Dar trasparencia al sistema, simplificar el sistema de cálculo y de nivelación eliminando los actuales fondos de garantía o sostenibilidad. </w:t>
      </w:r>
    </w:p>
    <w:p w:rsidR="001B6C04" w:rsidRDefault="00DE3823" w:rsidP="00123AA5">
      <w:pPr>
        <w:jc w:val="both"/>
        <w:rPr>
          <w:rFonts w:ascii="Arial" w:hAnsi="Arial" w:cs="Arial"/>
          <w:sz w:val="24"/>
          <w:szCs w:val="24"/>
        </w:rPr>
      </w:pPr>
      <w:r w:rsidRPr="00DE3823">
        <w:rPr>
          <w:rFonts w:ascii="Arial" w:hAnsi="Arial" w:cs="Arial"/>
          <w:sz w:val="24"/>
          <w:szCs w:val="24"/>
        </w:rPr>
        <w:t xml:space="preserve">4. Crear una partida económica específica en los Presupuestos del Estado destinada a compensar las diferencias de financiación (no basadas en necesidades objetivas de salud de cada población) entre CCAA, para lo que podrían utilizarse los Fondos de Cohesión. </w:t>
      </w:r>
    </w:p>
    <w:p w:rsidR="001B6C04" w:rsidRDefault="00DE3823" w:rsidP="00123AA5">
      <w:pPr>
        <w:jc w:val="both"/>
        <w:rPr>
          <w:rFonts w:ascii="Arial" w:hAnsi="Arial" w:cs="Arial"/>
          <w:sz w:val="24"/>
          <w:szCs w:val="24"/>
        </w:rPr>
      </w:pPr>
      <w:r w:rsidRPr="00DE3823">
        <w:rPr>
          <w:rFonts w:ascii="Arial" w:hAnsi="Arial" w:cs="Arial"/>
          <w:sz w:val="24"/>
          <w:szCs w:val="24"/>
        </w:rPr>
        <w:t xml:space="preserve">5. Introducir para el cálculo de las necesidades de gasto, además de los actuales indicadores basados en la estructura poblacional, otros basados en las necesidades de salud como la carga de enfermedad (enfermedades prevalentes, mortalidad, discapacidad, principales determinantes medioambientales y diferencias de recursos sanitarios). </w:t>
      </w:r>
    </w:p>
    <w:p w:rsidR="001B6C04" w:rsidRDefault="00DE3823" w:rsidP="00123AA5">
      <w:pPr>
        <w:jc w:val="both"/>
        <w:rPr>
          <w:rFonts w:ascii="Arial" w:hAnsi="Arial" w:cs="Arial"/>
          <w:sz w:val="24"/>
          <w:szCs w:val="24"/>
        </w:rPr>
      </w:pPr>
      <w:r w:rsidRPr="00DE3823">
        <w:rPr>
          <w:rFonts w:ascii="Arial" w:hAnsi="Arial" w:cs="Arial"/>
          <w:sz w:val="24"/>
          <w:szCs w:val="24"/>
        </w:rPr>
        <w:t>6. Cambiar la orientación estratégica de la política sanitaria: Pasar de la actual estrategia orientada a la enfermedad y la curación a otra basada en la promoción, la prevención, la equidad</w:t>
      </w:r>
      <w:r w:rsidR="001B6C04">
        <w:rPr>
          <w:rFonts w:ascii="Arial" w:hAnsi="Arial" w:cs="Arial"/>
          <w:sz w:val="24"/>
          <w:szCs w:val="24"/>
        </w:rPr>
        <w:t xml:space="preserve"> y los cuidados a los crónicos </w:t>
      </w:r>
    </w:p>
    <w:p w:rsidR="001B6C04" w:rsidRDefault="00DE3823" w:rsidP="00123AA5">
      <w:pPr>
        <w:jc w:val="both"/>
        <w:rPr>
          <w:rFonts w:ascii="Arial" w:hAnsi="Arial" w:cs="Arial"/>
          <w:sz w:val="24"/>
          <w:szCs w:val="24"/>
        </w:rPr>
      </w:pPr>
      <w:r w:rsidRPr="00DE3823">
        <w:rPr>
          <w:rFonts w:ascii="Arial" w:hAnsi="Arial" w:cs="Arial"/>
          <w:sz w:val="24"/>
          <w:szCs w:val="24"/>
        </w:rPr>
        <w:t xml:space="preserve"> El cambio de modelo para ser eficaz precisa de otras actuaciones Complementarias Para evitar que un aumento de la financiación sanitaria se traslade directamente a una sobreutilización innecesaria y a financiar actividades ineficaces, </w:t>
      </w:r>
      <w:proofErr w:type="spellStart"/>
      <w:r w:rsidRPr="00DE3823">
        <w:rPr>
          <w:rFonts w:ascii="Arial" w:hAnsi="Arial" w:cs="Arial"/>
          <w:sz w:val="24"/>
          <w:szCs w:val="24"/>
        </w:rPr>
        <w:t>etc</w:t>
      </w:r>
      <w:proofErr w:type="spellEnd"/>
      <w:r w:rsidRPr="00DE3823">
        <w:rPr>
          <w:rFonts w:ascii="Arial" w:hAnsi="Arial" w:cs="Arial"/>
          <w:sz w:val="24"/>
          <w:szCs w:val="24"/>
        </w:rPr>
        <w:t xml:space="preserve">, habría que acompañar el cambio del modelo con la puesta en marcha de una estrategia destinada a: </w:t>
      </w:r>
    </w:p>
    <w:p w:rsidR="001B6C04" w:rsidRDefault="00DE3823" w:rsidP="00123AA5">
      <w:pPr>
        <w:jc w:val="both"/>
        <w:rPr>
          <w:rFonts w:ascii="Arial" w:hAnsi="Arial" w:cs="Arial"/>
          <w:sz w:val="24"/>
          <w:szCs w:val="24"/>
        </w:rPr>
      </w:pPr>
      <w:r w:rsidRPr="00DE3823">
        <w:rPr>
          <w:rFonts w:ascii="Arial" w:hAnsi="Arial" w:cs="Arial"/>
          <w:sz w:val="24"/>
          <w:szCs w:val="24"/>
        </w:rPr>
        <w:t xml:space="preserve">• Controlar el crecimiento irracional del gasto farmacéutico que alcanza la astronómica cifra de 17.000 millones de euros (2º lugar mundial en consumo de medicamentos) y que sigue aumentando (8% en farmacia y 26% en hospitales). </w:t>
      </w:r>
    </w:p>
    <w:p w:rsidR="001B6C04" w:rsidRDefault="00DE3823" w:rsidP="00123AA5">
      <w:pPr>
        <w:jc w:val="both"/>
        <w:rPr>
          <w:rFonts w:ascii="Arial" w:hAnsi="Arial" w:cs="Arial"/>
          <w:sz w:val="24"/>
          <w:szCs w:val="24"/>
        </w:rPr>
      </w:pPr>
      <w:r w:rsidRPr="00DE3823">
        <w:rPr>
          <w:rFonts w:ascii="Arial" w:hAnsi="Arial" w:cs="Arial"/>
          <w:sz w:val="24"/>
          <w:szCs w:val="24"/>
        </w:rPr>
        <w:t xml:space="preserve">• Crea una agencia estatal para evaluar y controlar las nuevas tecnología antes de introducirla en el sistema • Poner en marcha una Estrategia Estatal destinada a racionalizar la actividad asistencial basada en la evidencia científicamente comprobada (protocolos, guías clínicas, vías clínicas) y en el enfoque integral de los procesos asistenciales </w:t>
      </w:r>
    </w:p>
    <w:p w:rsidR="00340D1C" w:rsidRDefault="00340D1C" w:rsidP="00123AA5">
      <w:pPr>
        <w:jc w:val="both"/>
        <w:rPr>
          <w:rFonts w:ascii="Arial" w:hAnsi="Arial" w:cs="Arial"/>
          <w:sz w:val="24"/>
          <w:szCs w:val="24"/>
        </w:rPr>
      </w:pPr>
    </w:p>
    <w:p w:rsidR="00340D1C" w:rsidRDefault="00340D1C" w:rsidP="00123AA5">
      <w:pPr>
        <w:jc w:val="both"/>
        <w:rPr>
          <w:rFonts w:ascii="Arial" w:hAnsi="Arial" w:cs="Arial"/>
          <w:sz w:val="24"/>
          <w:szCs w:val="24"/>
        </w:rPr>
      </w:pPr>
    </w:p>
    <w:p w:rsidR="00340D1C" w:rsidRDefault="00340D1C" w:rsidP="00123AA5">
      <w:pPr>
        <w:jc w:val="both"/>
        <w:rPr>
          <w:rFonts w:ascii="Arial" w:hAnsi="Arial" w:cs="Arial"/>
          <w:sz w:val="24"/>
          <w:szCs w:val="24"/>
        </w:rPr>
      </w:pPr>
    </w:p>
    <w:p w:rsidR="00340D1C" w:rsidRDefault="00340D1C" w:rsidP="00123AA5">
      <w:pPr>
        <w:jc w:val="both"/>
        <w:rPr>
          <w:rFonts w:ascii="Arial" w:hAnsi="Arial" w:cs="Arial"/>
          <w:sz w:val="24"/>
          <w:szCs w:val="24"/>
        </w:rPr>
      </w:pPr>
    </w:p>
    <w:p w:rsidR="00340D1C" w:rsidRDefault="00340D1C" w:rsidP="00123AA5">
      <w:pPr>
        <w:jc w:val="both"/>
        <w:rPr>
          <w:rFonts w:ascii="Arial" w:hAnsi="Arial" w:cs="Arial"/>
          <w:sz w:val="24"/>
          <w:szCs w:val="24"/>
        </w:rPr>
      </w:pPr>
    </w:p>
    <w:p w:rsidR="001B6C04" w:rsidRDefault="00DE3823" w:rsidP="00123AA5">
      <w:pPr>
        <w:jc w:val="both"/>
        <w:rPr>
          <w:rFonts w:ascii="Arial" w:hAnsi="Arial" w:cs="Arial"/>
          <w:sz w:val="24"/>
          <w:szCs w:val="24"/>
        </w:rPr>
      </w:pPr>
      <w:r w:rsidRPr="00DE3823">
        <w:rPr>
          <w:rFonts w:ascii="Arial" w:hAnsi="Arial" w:cs="Arial"/>
          <w:sz w:val="24"/>
          <w:szCs w:val="24"/>
        </w:rPr>
        <w:lastRenderedPageBreak/>
        <w:t>En conclusión, las sucesivas reformas del Modelo de Financiación no afrontaron dos problemas básicos y reiterados de la financiación autonómica</w:t>
      </w:r>
      <w:r w:rsidR="00340D1C">
        <w:rPr>
          <w:rFonts w:ascii="Arial" w:hAnsi="Arial" w:cs="Arial"/>
          <w:sz w:val="24"/>
          <w:szCs w:val="24"/>
        </w:rPr>
        <w:t xml:space="preserve"> y las propuestas actuales tampoco lo hacen</w:t>
      </w:r>
      <w:bookmarkStart w:id="0" w:name="_GoBack"/>
      <w:bookmarkEnd w:id="0"/>
      <w:r w:rsidRPr="00DE3823">
        <w:rPr>
          <w:rFonts w:ascii="Arial" w:hAnsi="Arial" w:cs="Arial"/>
          <w:sz w:val="24"/>
          <w:szCs w:val="24"/>
        </w:rPr>
        <w:t xml:space="preserve">. Uno es la discriminación económica que se produce ente las comunidades forales y las financiadas a través del régimen común (artículo 138 de la Constitución Española). El segundo deriva de la ausencia de un pacto político amplio, solvente y previo, fundamentado en la equidad y en la responsabilidad fiscal. Si estos principios no se tratan con rigor y generosidad, la fragilidad del sistema será otra vez evidente, porque así lo avala la experiencia y también la lógica y los conocimientos que tenemos sobre el desarrollo de los distintos sistemas de financiación sanitaria en nuestro país y a nivel internacional. </w:t>
      </w:r>
    </w:p>
    <w:p w:rsidR="00B80CD7" w:rsidRDefault="00DE3823" w:rsidP="00123AA5">
      <w:pPr>
        <w:jc w:val="both"/>
        <w:rPr>
          <w:rFonts w:ascii="Arial" w:hAnsi="Arial" w:cs="Arial"/>
          <w:b/>
          <w:i/>
          <w:sz w:val="24"/>
          <w:szCs w:val="24"/>
        </w:rPr>
      </w:pPr>
      <w:r w:rsidRPr="00324BB8">
        <w:rPr>
          <w:rFonts w:ascii="Arial" w:hAnsi="Arial" w:cs="Arial"/>
          <w:b/>
          <w:i/>
          <w:sz w:val="24"/>
          <w:szCs w:val="24"/>
        </w:rPr>
        <w:t>FEDERACION DE ASOCIACIONES PARA LA DEFENSA DE LA SANIDAD PÚBLICA</w:t>
      </w:r>
    </w:p>
    <w:p w:rsidR="00324BB8" w:rsidRPr="00324BB8" w:rsidRDefault="00324BB8" w:rsidP="00123AA5">
      <w:pPr>
        <w:jc w:val="both"/>
        <w:rPr>
          <w:rFonts w:ascii="Arial" w:hAnsi="Arial" w:cs="Arial"/>
          <w:b/>
          <w:i/>
          <w:sz w:val="24"/>
          <w:szCs w:val="24"/>
        </w:rPr>
      </w:pPr>
      <w:r>
        <w:rPr>
          <w:rFonts w:ascii="Arial" w:hAnsi="Arial" w:cs="Arial"/>
          <w:b/>
          <w:i/>
          <w:sz w:val="24"/>
          <w:szCs w:val="24"/>
        </w:rPr>
        <w:t>Agosto de 2017</w:t>
      </w:r>
    </w:p>
    <w:sectPr w:rsidR="00324BB8" w:rsidRPr="00324BB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81" w:rsidRDefault="00310581" w:rsidP="00207626">
      <w:pPr>
        <w:spacing w:after="0" w:line="240" w:lineRule="auto"/>
      </w:pPr>
      <w:r>
        <w:separator/>
      </w:r>
    </w:p>
  </w:endnote>
  <w:endnote w:type="continuationSeparator" w:id="0">
    <w:p w:rsidR="00310581" w:rsidRDefault="00310581" w:rsidP="0020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96809"/>
      <w:docPartObj>
        <w:docPartGallery w:val="Page Numbers (Bottom of Page)"/>
        <w:docPartUnique/>
      </w:docPartObj>
    </w:sdtPr>
    <w:sdtEndPr/>
    <w:sdtContent>
      <w:p w:rsidR="00207626" w:rsidRDefault="00207626">
        <w:pPr>
          <w:pStyle w:val="Piedepgina"/>
        </w:pPr>
        <w:r>
          <w:fldChar w:fldCharType="begin"/>
        </w:r>
        <w:r>
          <w:instrText>PAGE   \* MERGEFORMAT</w:instrText>
        </w:r>
        <w:r>
          <w:fldChar w:fldCharType="separate"/>
        </w:r>
        <w:r w:rsidR="00340D1C">
          <w:rPr>
            <w:noProof/>
          </w:rPr>
          <w:t>4</w:t>
        </w:r>
        <w:r>
          <w:fldChar w:fldCharType="end"/>
        </w:r>
      </w:p>
    </w:sdtContent>
  </w:sdt>
  <w:p w:rsidR="00207626" w:rsidRDefault="002076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81" w:rsidRDefault="00310581" w:rsidP="00207626">
      <w:pPr>
        <w:spacing w:after="0" w:line="240" w:lineRule="auto"/>
      </w:pPr>
      <w:r>
        <w:separator/>
      </w:r>
    </w:p>
  </w:footnote>
  <w:footnote w:type="continuationSeparator" w:id="0">
    <w:p w:rsidR="00310581" w:rsidRDefault="00310581" w:rsidP="00207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23"/>
    <w:rsid w:val="00012256"/>
    <w:rsid w:val="00123AA5"/>
    <w:rsid w:val="001B6C04"/>
    <w:rsid w:val="00207626"/>
    <w:rsid w:val="00310581"/>
    <w:rsid w:val="00324BB8"/>
    <w:rsid w:val="00340D1C"/>
    <w:rsid w:val="0058411D"/>
    <w:rsid w:val="00606971"/>
    <w:rsid w:val="006272A4"/>
    <w:rsid w:val="00794E31"/>
    <w:rsid w:val="00BD4B6E"/>
    <w:rsid w:val="00BF780D"/>
    <w:rsid w:val="00C336B8"/>
    <w:rsid w:val="00C950EE"/>
    <w:rsid w:val="00CA7A47"/>
    <w:rsid w:val="00D53D54"/>
    <w:rsid w:val="00DE2749"/>
    <w:rsid w:val="00DE3823"/>
    <w:rsid w:val="00E70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0DDC5-BCCB-466E-8017-6355C3E2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B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076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7626"/>
  </w:style>
  <w:style w:type="paragraph" w:styleId="Piedepgina">
    <w:name w:val="footer"/>
    <w:basedOn w:val="Normal"/>
    <w:link w:val="PiedepginaCar"/>
    <w:uiPriority w:val="99"/>
    <w:unhideWhenUsed/>
    <w:rsid w:val="002076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7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1193</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Consejeria de Sanidad</dc:creator>
  <cp:keywords/>
  <dc:description/>
  <cp:lastModifiedBy>Consejeria de Sanidad</cp:lastModifiedBy>
  <cp:revision>5</cp:revision>
  <dcterms:created xsi:type="dcterms:W3CDTF">2017-08-08T05:47:00Z</dcterms:created>
  <dcterms:modified xsi:type="dcterms:W3CDTF">2017-08-08T09:56:00Z</dcterms:modified>
</cp:coreProperties>
</file>